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C35C" w14:textId="77777777" w:rsidR="00C815E8" w:rsidRDefault="00C815E8" w:rsidP="003F06C9">
      <w:pPr>
        <w:rPr>
          <w:b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106F33" w14:paraId="6705D316" w14:textId="77777777" w:rsidTr="00106F33">
        <w:trPr>
          <w:gridAfter w:val="2"/>
          <w:wAfter w:w="5103" w:type="dxa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5858A" w14:textId="53D165F6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55098A15" wp14:editId="1E41F6B2">
                  <wp:extent cx="10668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tho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0CA83" w14:textId="77777777" w:rsidR="00106F33" w:rsidRDefault="00106F33" w:rsidP="00106F33">
            <w:pPr>
              <w:rPr>
                <w:b/>
              </w:rPr>
            </w:pPr>
          </w:p>
        </w:tc>
      </w:tr>
      <w:tr w:rsidR="00106F33" w14:paraId="01E5B287" w14:textId="77777777" w:rsidTr="00106F33">
        <w:tc>
          <w:tcPr>
            <w:tcW w:w="4537" w:type="dxa"/>
            <w:tcBorders>
              <w:top w:val="single" w:sz="4" w:space="0" w:color="auto"/>
            </w:tcBorders>
          </w:tcPr>
          <w:p w14:paraId="657FE87A" w14:textId="77777777" w:rsidR="00106F33" w:rsidRDefault="00106F33" w:rsidP="00C815E8">
            <w:pPr>
              <w:jc w:val="center"/>
              <w:rPr>
                <w:b/>
              </w:rPr>
            </w:pPr>
          </w:p>
          <w:p w14:paraId="77068954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Fee Type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CF42C4" w14:textId="23416164" w:rsidR="00106F33" w:rsidRDefault="00344DD4" w:rsidP="00C815E8">
            <w:pPr>
              <w:jc w:val="center"/>
              <w:rPr>
                <w:b/>
              </w:rPr>
            </w:pPr>
            <w:r w:rsidRPr="00106F33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3FE7D" wp14:editId="4A6D7CC7">
                      <wp:simplePos x="0" y="0"/>
                      <wp:positionH relativeFrom="column">
                        <wp:posOffset>-729829</wp:posOffset>
                      </wp:positionH>
                      <wp:positionV relativeFrom="paragraph">
                        <wp:posOffset>-1213485</wp:posOffset>
                      </wp:positionV>
                      <wp:extent cx="3790950" cy="1047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5E63E" w14:textId="77777777" w:rsidR="00106F33" w:rsidRPr="00106F33" w:rsidRDefault="00106F33" w:rsidP="00106F3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06F3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Sutherland Hockey Club</w:t>
                                  </w:r>
                                </w:p>
                                <w:p w14:paraId="274EC206" w14:textId="19548E3D" w:rsidR="00106F33" w:rsidRDefault="00106F33" w:rsidP="00106F3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06F3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201</w:t>
                                  </w:r>
                                  <w:r w:rsidR="00344DD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106F3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Playing Fees</w:t>
                                  </w:r>
                                </w:p>
                                <w:p w14:paraId="5BE182D7" w14:textId="77777777" w:rsidR="00344DD4" w:rsidRPr="00106F33" w:rsidRDefault="00344DD4" w:rsidP="00106F3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3F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.45pt;margin-top:-95.55pt;width:29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" stroked="f">
                      <v:textbox>
                        <w:txbxContent>
                          <w:p w14:paraId="52B5E63E" w14:textId="77777777" w:rsidR="00106F33" w:rsidRPr="00106F33" w:rsidRDefault="00106F33" w:rsidP="00106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6F33">
                              <w:rPr>
                                <w:b/>
                                <w:sz w:val="32"/>
                                <w:szCs w:val="32"/>
                              </w:rPr>
                              <w:t>Sutherland Hockey Club</w:t>
                            </w:r>
                          </w:p>
                          <w:p w14:paraId="274EC206" w14:textId="19548E3D" w:rsidR="00106F33" w:rsidRDefault="00106F33" w:rsidP="00106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6F33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344DD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106F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Playing Fees</w:t>
                            </w:r>
                          </w:p>
                          <w:p w14:paraId="5BE182D7" w14:textId="77777777" w:rsidR="00344DD4" w:rsidRPr="00106F33" w:rsidRDefault="00344DD4" w:rsidP="00106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F33">
              <w:rPr>
                <w:b/>
              </w:rPr>
              <w:t>SDHC</w:t>
            </w:r>
          </w:p>
          <w:p w14:paraId="3A413EBB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106A7E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Sibling Discount</w:t>
            </w:r>
          </w:p>
          <w:p w14:paraId="34D24674" w14:textId="2FD581A9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F23A8D">
              <w:rPr>
                <w:b/>
              </w:rPr>
              <w:t xml:space="preserve">SDHC </w:t>
            </w:r>
            <w:r>
              <w:rPr>
                <w:b/>
              </w:rPr>
              <w:t xml:space="preserve">Fee </w:t>
            </w:r>
          </w:p>
        </w:tc>
      </w:tr>
      <w:tr w:rsidR="00106F33" w14:paraId="3645797D" w14:textId="77777777" w:rsidTr="00106F33">
        <w:tc>
          <w:tcPr>
            <w:tcW w:w="9640" w:type="dxa"/>
            <w:gridSpan w:val="3"/>
            <w:shd w:val="clear" w:color="auto" w:fill="C6D9F1" w:themeFill="text2" w:themeFillTint="33"/>
          </w:tcPr>
          <w:p w14:paraId="63FE851C" w14:textId="77777777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Senior Men</w:t>
            </w:r>
          </w:p>
        </w:tc>
      </w:tr>
      <w:tr w:rsidR="00106F33" w14:paraId="0C85519E" w14:textId="77777777" w:rsidTr="00106F33">
        <w:tc>
          <w:tcPr>
            <w:tcW w:w="4537" w:type="dxa"/>
          </w:tcPr>
          <w:p w14:paraId="2252739F" w14:textId="77777777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Playing  Fee</w:t>
            </w:r>
          </w:p>
        </w:tc>
        <w:tc>
          <w:tcPr>
            <w:tcW w:w="2551" w:type="dxa"/>
          </w:tcPr>
          <w:p w14:paraId="502A71FA" w14:textId="77777777" w:rsidR="00106F33" w:rsidRDefault="00490281" w:rsidP="00C815E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106F33">
              <w:rPr>
                <w:b/>
              </w:rPr>
              <w:t>5.00</w:t>
            </w:r>
          </w:p>
        </w:tc>
        <w:tc>
          <w:tcPr>
            <w:tcW w:w="2552" w:type="dxa"/>
          </w:tcPr>
          <w:p w14:paraId="07636E26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76E145E0" w14:textId="77777777" w:rsidTr="00106F33">
        <w:tc>
          <w:tcPr>
            <w:tcW w:w="4537" w:type="dxa"/>
          </w:tcPr>
          <w:p w14:paraId="7198DB82" w14:textId="60298736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Playing Fee – Goalie</w:t>
            </w:r>
            <w:r w:rsidR="008379F3">
              <w:rPr>
                <w:b/>
              </w:rPr>
              <w:t xml:space="preserve"> **</w:t>
            </w:r>
          </w:p>
        </w:tc>
        <w:tc>
          <w:tcPr>
            <w:tcW w:w="2551" w:type="dxa"/>
          </w:tcPr>
          <w:p w14:paraId="102A0483" w14:textId="30F9B9AB" w:rsidR="00106F33" w:rsidRDefault="002630DE" w:rsidP="00C815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6F33">
              <w:rPr>
                <w:b/>
              </w:rPr>
              <w:t>0.00</w:t>
            </w:r>
          </w:p>
        </w:tc>
        <w:tc>
          <w:tcPr>
            <w:tcW w:w="2552" w:type="dxa"/>
          </w:tcPr>
          <w:p w14:paraId="36FBD9DA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6E6C8AAC" w14:textId="77777777" w:rsidTr="00106F33">
        <w:tc>
          <w:tcPr>
            <w:tcW w:w="4537" w:type="dxa"/>
          </w:tcPr>
          <w:p w14:paraId="3B429FBB" w14:textId="1148BA13" w:rsidR="00106F33" w:rsidRDefault="00F122A0" w:rsidP="00C815E8">
            <w:pPr>
              <w:rPr>
                <w:b/>
              </w:rPr>
            </w:pPr>
            <w:r>
              <w:rPr>
                <w:b/>
              </w:rPr>
              <w:t>Full Time Student</w:t>
            </w:r>
          </w:p>
        </w:tc>
        <w:tc>
          <w:tcPr>
            <w:tcW w:w="2551" w:type="dxa"/>
          </w:tcPr>
          <w:p w14:paraId="05F69E6E" w14:textId="33FADA57" w:rsidR="00106F33" w:rsidRDefault="00490281" w:rsidP="00192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4E01">
              <w:rPr>
                <w:b/>
              </w:rPr>
              <w:t>9</w:t>
            </w:r>
            <w:r>
              <w:rPr>
                <w:b/>
              </w:rPr>
              <w:t>5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61289F1A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77E11867" w14:textId="77777777" w:rsidTr="00106F33">
        <w:tc>
          <w:tcPr>
            <w:tcW w:w="4537" w:type="dxa"/>
          </w:tcPr>
          <w:p w14:paraId="5510EDB5" w14:textId="6A52BA9F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Time Student – Goalie</w:t>
            </w:r>
            <w:r w:rsidR="008379F3">
              <w:rPr>
                <w:b/>
              </w:rPr>
              <w:t xml:space="preserve"> **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057C1119" w14:textId="078C5C40" w:rsidR="00106F33" w:rsidRDefault="002630DE" w:rsidP="00C815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6F33">
              <w:rPr>
                <w:b/>
              </w:rPr>
              <w:t>0.00</w:t>
            </w:r>
          </w:p>
        </w:tc>
        <w:tc>
          <w:tcPr>
            <w:tcW w:w="2552" w:type="dxa"/>
          </w:tcPr>
          <w:p w14:paraId="03A8A57B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2F655600" w14:textId="77777777" w:rsidTr="00106F33">
        <w:tc>
          <w:tcPr>
            <w:tcW w:w="4537" w:type="dxa"/>
          </w:tcPr>
          <w:p w14:paraId="11721484" w14:textId="2582B3D9" w:rsidR="00106F33" w:rsidRDefault="00106F33" w:rsidP="00A664AB">
            <w:pPr>
              <w:rPr>
                <w:b/>
              </w:rPr>
            </w:pPr>
            <w:r>
              <w:rPr>
                <w:b/>
              </w:rPr>
              <w:t>Junior Playing Seniors (U18) *</w:t>
            </w:r>
            <w:r w:rsidR="00A664AB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6089D169" w14:textId="04604D87" w:rsidR="00106F33" w:rsidRDefault="00106F33" w:rsidP="00D84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4E01">
              <w:rPr>
                <w:b/>
              </w:rPr>
              <w:t>7</w:t>
            </w:r>
            <w:r>
              <w:rPr>
                <w:b/>
              </w:rPr>
              <w:t>0.00</w:t>
            </w:r>
          </w:p>
        </w:tc>
        <w:tc>
          <w:tcPr>
            <w:tcW w:w="2552" w:type="dxa"/>
          </w:tcPr>
          <w:p w14:paraId="22339199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046A3F10" w14:textId="77777777" w:rsidTr="00A664AB">
        <w:trPr>
          <w:trHeight w:val="302"/>
        </w:trPr>
        <w:tc>
          <w:tcPr>
            <w:tcW w:w="4537" w:type="dxa"/>
          </w:tcPr>
          <w:p w14:paraId="5DA11969" w14:textId="223A514B" w:rsidR="00106F33" w:rsidRDefault="00106F33" w:rsidP="00A664AB">
            <w:pPr>
              <w:rPr>
                <w:b/>
              </w:rPr>
            </w:pPr>
            <w:r>
              <w:rPr>
                <w:b/>
              </w:rPr>
              <w:t>Junior Playing Senior (U18) ** Goalie Fee</w:t>
            </w:r>
          </w:p>
        </w:tc>
        <w:tc>
          <w:tcPr>
            <w:tcW w:w="2551" w:type="dxa"/>
          </w:tcPr>
          <w:p w14:paraId="0858C211" w14:textId="34BD6AF5" w:rsidR="00106F33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5019AF63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A664AB" w14:paraId="1F71F26F" w14:textId="77777777" w:rsidTr="00106F33">
        <w:tc>
          <w:tcPr>
            <w:tcW w:w="4537" w:type="dxa"/>
          </w:tcPr>
          <w:p w14:paraId="7FF25803" w14:textId="0DB3A319" w:rsidR="00A664AB" w:rsidRDefault="00A664AB" w:rsidP="00C815E8">
            <w:pPr>
              <w:rPr>
                <w:b/>
              </w:rPr>
            </w:pPr>
            <w:r>
              <w:rPr>
                <w:b/>
              </w:rPr>
              <w:t>Casual Player - Pick-Up-Roster (6 game limit)</w:t>
            </w:r>
          </w:p>
        </w:tc>
        <w:tc>
          <w:tcPr>
            <w:tcW w:w="2551" w:type="dxa"/>
          </w:tcPr>
          <w:p w14:paraId="0F2754D1" w14:textId="594CBD4D" w:rsidR="00A664AB" w:rsidRDefault="00A664AB" w:rsidP="00C815E8">
            <w:pPr>
              <w:jc w:val="center"/>
              <w:rPr>
                <w:b/>
              </w:rPr>
            </w:pPr>
            <w:r>
              <w:rPr>
                <w:b/>
              </w:rPr>
              <w:t>150.00</w:t>
            </w:r>
          </w:p>
        </w:tc>
        <w:tc>
          <w:tcPr>
            <w:tcW w:w="2552" w:type="dxa"/>
          </w:tcPr>
          <w:p w14:paraId="72ED94CA" w14:textId="70070E62" w:rsidR="00A664AB" w:rsidRDefault="00A664AB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14866816" w14:textId="77777777" w:rsidTr="00106F33">
        <w:tc>
          <w:tcPr>
            <w:tcW w:w="9640" w:type="dxa"/>
            <w:gridSpan w:val="3"/>
            <w:shd w:val="clear" w:color="auto" w:fill="C6D9F1" w:themeFill="text2" w:themeFillTint="33"/>
          </w:tcPr>
          <w:p w14:paraId="7B01F0F9" w14:textId="77777777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Senior Women</w:t>
            </w:r>
          </w:p>
        </w:tc>
      </w:tr>
      <w:tr w:rsidR="00106F33" w14:paraId="46BFCDD8" w14:textId="77777777" w:rsidTr="00106F33">
        <w:tc>
          <w:tcPr>
            <w:tcW w:w="4537" w:type="dxa"/>
          </w:tcPr>
          <w:p w14:paraId="0353CF90" w14:textId="77777777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Playing Fee</w:t>
            </w:r>
          </w:p>
        </w:tc>
        <w:tc>
          <w:tcPr>
            <w:tcW w:w="2551" w:type="dxa"/>
          </w:tcPr>
          <w:p w14:paraId="414E8A4C" w14:textId="77777777" w:rsidR="00106F33" w:rsidRDefault="00490281" w:rsidP="00C815E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106F33">
              <w:rPr>
                <w:b/>
              </w:rPr>
              <w:t>0.00</w:t>
            </w:r>
          </w:p>
        </w:tc>
        <w:tc>
          <w:tcPr>
            <w:tcW w:w="2552" w:type="dxa"/>
          </w:tcPr>
          <w:p w14:paraId="7D1C6E48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0F291C6F" w14:textId="77777777" w:rsidTr="00106F33">
        <w:tc>
          <w:tcPr>
            <w:tcW w:w="4537" w:type="dxa"/>
          </w:tcPr>
          <w:p w14:paraId="4748C3E4" w14:textId="4A748EE2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 xml:space="preserve">Full Playing Fee </w:t>
            </w:r>
            <w:r w:rsidR="008379F3">
              <w:rPr>
                <w:b/>
              </w:rPr>
              <w:t>–</w:t>
            </w:r>
            <w:r w:rsidR="006F0AA1">
              <w:rPr>
                <w:b/>
              </w:rPr>
              <w:t xml:space="preserve"> </w:t>
            </w:r>
            <w:r>
              <w:rPr>
                <w:b/>
              </w:rPr>
              <w:t>Goalie</w:t>
            </w:r>
            <w:r w:rsidR="008379F3">
              <w:rPr>
                <w:b/>
              </w:rPr>
              <w:t xml:space="preserve"> **</w:t>
            </w:r>
          </w:p>
        </w:tc>
        <w:tc>
          <w:tcPr>
            <w:tcW w:w="2551" w:type="dxa"/>
          </w:tcPr>
          <w:p w14:paraId="4D8FD54C" w14:textId="4B3907E9" w:rsidR="00106F33" w:rsidRDefault="00344DD4" w:rsidP="00C815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06F33">
              <w:rPr>
                <w:b/>
              </w:rPr>
              <w:t>0.00</w:t>
            </w:r>
          </w:p>
        </w:tc>
        <w:tc>
          <w:tcPr>
            <w:tcW w:w="2552" w:type="dxa"/>
          </w:tcPr>
          <w:p w14:paraId="21F6ABCA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274D9EE5" w14:textId="77777777" w:rsidTr="00106F33">
        <w:tc>
          <w:tcPr>
            <w:tcW w:w="4537" w:type="dxa"/>
          </w:tcPr>
          <w:p w14:paraId="37347CB5" w14:textId="77777777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Time Student</w:t>
            </w:r>
          </w:p>
        </w:tc>
        <w:tc>
          <w:tcPr>
            <w:tcW w:w="2551" w:type="dxa"/>
          </w:tcPr>
          <w:p w14:paraId="73A0EFF0" w14:textId="3AFBDEB1" w:rsidR="00106F33" w:rsidRDefault="00490281" w:rsidP="00D84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4E01">
              <w:rPr>
                <w:b/>
              </w:rPr>
              <w:t>80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0021AF45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1C1369D5" w14:textId="77777777" w:rsidTr="00A664AB">
        <w:trPr>
          <w:trHeight w:val="301"/>
        </w:trPr>
        <w:tc>
          <w:tcPr>
            <w:tcW w:w="4537" w:type="dxa"/>
          </w:tcPr>
          <w:p w14:paraId="67D56CD7" w14:textId="6517FD82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Full Time Student Goalie</w:t>
            </w:r>
            <w:r w:rsidR="008379F3">
              <w:rPr>
                <w:b/>
              </w:rPr>
              <w:t xml:space="preserve"> **</w:t>
            </w:r>
          </w:p>
        </w:tc>
        <w:tc>
          <w:tcPr>
            <w:tcW w:w="2551" w:type="dxa"/>
          </w:tcPr>
          <w:p w14:paraId="01BD5E6F" w14:textId="3B12EAAF" w:rsidR="00106F33" w:rsidRDefault="00D84E01" w:rsidP="00D84E0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58DC7222" w14:textId="77777777" w:rsidR="00106F33" w:rsidRDefault="009C3971" w:rsidP="009C397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37B7951C" w14:textId="77777777" w:rsidTr="00106F33">
        <w:tc>
          <w:tcPr>
            <w:tcW w:w="4537" w:type="dxa"/>
          </w:tcPr>
          <w:p w14:paraId="2FCFD4F1" w14:textId="324D6C56" w:rsidR="00106F33" w:rsidRDefault="00106F33" w:rsidP="00A664AB">
            <w:pPr>
              <w:rPr>
                <w:b/>
              </w:rPr>
            </w:pPr>
            <w:r>
              <w:rPr>
                <w:b/>
              </w:rPr>
              <w:t>Junior Playing Seniors (U18) *</w:t>
            </w:r>
          </w:p>
        </w:tc>
        <w:tc>
          <w:tcPr>
            <w:tcW w:w="2551" w:type="dxa"/>
          </w:tcPr>
          <w:p w14:paraId="5328DCBE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200.00</w:t>
            </w:r>
          </w:p>
        </w:tc>
        <w:tc>
          <w:tcPr>
            <w:tcW w:w="2552" w:type="dxa"/>
          </w:tcPr>
          <w:p w14:paraId="61A951E4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3DE1D5D7" w14:textId="77777777" w:rsidTr="00106F33">
        <w:tc>
          <w:tcPr>
            <w:tcW w:w="4537" w:type="dxa"/>
          </w:tcPr>
          <w:p w14:paraId="18E021A0" w14:textId="5F41DAA9" w:rsidR="00106F33" w:rsidRDefault="00106F33" w:rsidP="00C815E8">
            <w:pPr>
              <w:rPr>
                <w:b/>
              </w:rPr>
            </w:pPr>
            <w:r>
              <w:rPr>
                <w:b/>
              </w:rPr>
              <w:t>Junior Playing Senior (U18) ** Goalie Fee</w:t>
            </w:r>
          </w:p>
        </w:tc>
        <w:tc>
          <w:tcPr>
            <w:tcW w:w="2551" w:type="dxa"/>
          </w:tcPr>
          <w:p w14:paraId="6976B16B" w14:textId="34D328A3" w:rsidR="00106F33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09813BDA" w14:textId="77777777" w:rsidR="00106F33" w:rsidRDefault="00106F33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06F33" w14:paraId="64461B00" w14:textId="77777777" w:rsidTr="00106F33">
        <w:tc>
          <w:tcPr>
            <w:tcW w:w="9640" w:type="dxa"/>
            <w:gridSpan w:val="3"/>
            <w:shd w:val="clear" w:color="auto" w:fill="C6D9F1" w:themeFill="text2" w:themeFillTint="33"/>
          </w:tcPr>
          <w:p w14:paraId="1BD56310" w14:textId="77777777" w:rsidR="00106F33" w:rsidRDefault="00106F33" w:rsidP="006A559B">
            <w:pPr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106F33" w14:paraId="002DAEF5" w14:textId="77777777" w:rsidTr="00106F33">
        <w:tc>
          <w:tcPr>
            <w:tcW w:w="4537" w:type="dxa"/>
          </w:tcPr>
          <w:p w14:paraId="7086C60F" w14:textId="77777777" w:rsidR="00106F33" w:rsidRDefault="00106F33" w:rsidP="006A559B">
            <w:pPr>
              <w:rPr>
                <w:b/>
              </w:rPr>
            </w:pPr>
            <w:r>
              <w:rPr>
                <w:b/>
              </w:rPr>
              <w:t>U11</w:t>
            </w:r>
          </w:p>
        </w:tc>
        <w:tc>
          <w:tcPr>
            <w:tcW w:w="2551" w:type="dxa"/>
          </w:tcPr>
          <w:p w14:paraId="7D691F56" w14:textId="728EFA0F" w:rsidR="00106F33" w:rsidRDefault="00490281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35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44E42A0B" w14:textId="7FF4C57C" w:rsidR="00106F33" w:rsidRDefault="00855C6A" w:rsidP="003F06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C3971">
              <w:rPr>
                <w:b/>
              </w:rPr>
              <w:t>5.00</w:t>
            </w:r>
          </w:p>
        </w:tc>
      </w:tr>
      <w:tr w:rsidR="00106F33" w14:paraId="60436E76" w14:textId="77777777" w:rsidTr="002630DE">
        <w:trPr>
          <w:trHeight w:val="301"/>
        </w:trPr>
        <w:tc>
          <w:tcPr>
            <w:tcW w:w="4537" w:type="dxa"/>
          </w:tcPr>
          <w:p w14:paraId="739DA100" w14:textId="00150631" w:rsidR="00106F33" w:rsidRDefault="00106F33" w:rsidP="002630DE">
            <w:pPr>
              <w:rPr>
                <w:b/>
              </w:rPr>
            </w:pPr>
            <w:r>
              <w:rPr>
                <w:b/>
              </w:rPr>
              <w:t xml:space="preserve">U13 </w:t>
            </w:r>
          </w:p>
        </w:tc>
        <w:tc>
          <w:tcPr>
            <w:tcW w:w="2551" w:type="dxa"/>
          </w:tcPr>
          <w:p w14:paraId="01367F75" w14:textId="39682ACB" w:rsidR="00106F33" w:rsidRDefault="00490281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4</w:t>
            </w:r>
            <w:r w:rsidR="00106F33">
              <w:rPr>
                <w:b/>
              </w:rPr>
              <w:t>5.00</w:t>
            </w:r>
          </w:p>
        </w:tc>
        <w:tc>
          <w:tcPr>
            <w:tcW w:w="2552" w:type="dxa"/>
          </w:tcPr>
          <w:p w14:paraId="22C45025" w14:textId="29D5755B" w:rsidR="00106F33" w:rsidRDefault="00855C6A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25</w:t>
            </w:r>
            <w:r w:rsidR="009C3971">
              <w:rPr>
                <w:b/>
              </w:rPr>
              <w:t>.00</w:t>
            </w:r>
          </w:p>
        </w:tc>
      </w:tr>
      <w:tr w:rsidR="002630DE" w14:paraId="1A1DB0D1" w14:textId="77777777" w:rsidTr="00106F33">
        <w:tc>
          <w:tcPr>
            <w:tcW w:w="4537" w:type="dxa"/>
          </w:tcPr>
          <w:p w14:paraId="573E209A" w14:textId="419B251F" w:rsidR="002630DE" w:rsidRDefault="002630DE" w:rsidP="006A559B">
            <w:pPr>
              <w:rPr>
                <w:b/>
              </w:rPr>
            </w:pPr>
            <w:r>
              <w:rPr>
                <w:b/>
              </w:rPr>
              <w:t>U15</w:t>
            </w:r>
          </w:p>
        </w:tc>
        <w:tc>
          <w:tcPr>
            <w:tcW w:w="2551" w:type="dxa"/>
          </w:tcPr>
          <w:p w14:paraId="0575AA7C" w14:textId="429684DD" w:rsidR="002630DE" w:rsidRDefault="00D84E01" w:rsidP="00D84E01">
            <w:pPr>
              <w:jc w:val="center"/>
              <w:rPr>
                <w:b/>
              </w:rPr>
            </w:pPr>
            <w:r>
              <w:rPr>
                <w:b/>
              </w:rPr>
              <w:t>160.00</w:t>
            </w:r>
          </w:p>
        </w:tc>
        <w:tc>
          <w:tcPr>
            <w:tcW w:w="2552" w:type="dxa"/>
          </w:tcPr>
          <w:p w14:paraId="0E1A182A" w14:textId="2F1431DF" w:rsidR="002630DE" w:rsidRDefault="00D84E01" w:rsidP="00D84E01">
            <w:pPr>
              <w:jc w:val="center"/>
              <w:rPr>
                <w:b/>
              </w:rPr>
            </w:pPr>
            <w:r>
              <w:rPr>
                <w:b/>
              </w:rPr>
              <w:t>140.00</w:t>
            </w:r>
          </w:p>
        </w:tc>
      </w:tr>
      <w:tr w:rsidR="00106F33" w14:paraId="7ECFC40B" w14:textId="77777777" w:rsidTr="00106F33">
        <w:tc>
          <w:tcPr>
            <w:tcW w:w="4537" w:type="dxa"/>
          </w:tcPr>
          <w:p w14:paraId="15F1941A" w14:textId="77777777" w:rsidR="00106F33" w:rsidRDefault="00106F33" w:rsidP="006A559B">
            <w:pPr>
              <w:rPr>
                <w:b/>
              </w:rPr>
            </w:pPr>
            <w:r>
              <w:rPr>
                <w:b/>
              </w:rPr>
              <w:t>U17</w:t>
            </w:r>
          </w:p>
        </w:tc>
        <w:tc>
          <w:tcPr>
            <w:tcW w:w="2551" w:type="dxa"/>
          </w:tcPr>
          <w:p w14:paraId="6FCB628A" w14:textId="743DA159" w:rsidR="00106F33" w:rsidRDefault="00490281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7</w:t>
            </w:r>
            <w:r w:rsidR="00106F33">
              <w:rPr>
                <w:b/>
              </w:rPr>
              <w:t>5.00</w:t>
            </w:r>
          </w:p>
        </w:tc>
        <w:tc>
          <w:tcPr>
            <w:tcW w:w="2552" w:type="dxa"/>
          </w:tcPr>
          <w:p w14:paraId="689031B4" w14:textId="3D611B6B" w:rsidR="00106F33" w:rsidRDefault="00855C6A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55</w:t>
            </w:r>
            <w:r w:rsidR="00941841">
              <w:rPr>
                <w:b/>
              </w:rPr>
              <w:t>.00</w:t>
            </w:r>
          </w:p>
        </w:tc>
      </w:tr>
      <w:tr w:rsidR="00106F33" w14:paraId="3E7FFE3F" w14:textId="77777777" w:rsidTr="00106F33">
        <w:tc>
          <w:tcPr>
            <w:tcW w:w="4537" w:type="dxa"/>
          </w:tcPr>
          <w:p w14:paraId="03A0CB4B" w14:textId="7C6E60CE" w:rsidR="00106F33" w:rsidRDefault="00106F33" w:rsidP="00A664AB">
            <w:pPr>
              <w:rPr>
                <w:b/>
              </w:rPr>
            </w:pPr>
            <w:r>
              <w:rPr>
                <w:b/>
              </w:rPr>
              <w:t>Junior Goalie with own gear</w:t>
            </w:r>
            <w:r w:rsidR="00A664AB">
              <w:rPr>
                <w:b/>
              </w:rPr>
              <w:t xml:space="preserve">  **</w:t>
            </w:r>
          </w:p>
        </w:tc>
        <w:tc>
          <w:tcPr>
            <w:tcW w:w="2551" w:type="dxa"/>
          </w:tcPr>
          <w:p w14:paraId="4AA3A1EF" w14:textId="43A651B3" w:rsidR="00106F33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06F33">
              <w:rPr>
                <w:b/>
              </w:rPr>
              <w:t>.00</w:t>
            </w:r>
          </w:p>
        </w:tc>
        <w:tc>
          <w:tcPr>
            <w:tcW w:w="2552" w:type="dxa"/>
          </w:tcPr>
          <w:p w14:paraId="028835AE" w14:textId="5E991CB6" w:rsidR="00106F33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C6A">
              <w:rPr>
                <w:b/>
              </w:rPr>
              <w:t>0</w:t>
            </w:r>
            <w:r w:rsidR="009C3971">
              <w:rPr>
                <w:b/>
              </w:rPr>
              <w:t>.00</w:t>
            </w:r>
          </w:p>
        </w:tc>
      </w:tr>
      <w:tr w:rsidR="004E2A54" w14:paraId="73396153" w14:textId="77777777" w:rsidTr="00106F33">
        <w:tc>
          <w:tcPr>
            <w:tcW w:w="4537" w:type="dxa"/>
          </w:tcPr>
          <w:p w14:paraId="4F498CE8" w14:textId="628C52B4" w:rsidR="004E2A54" w:rsidRDefault="00D84E01" w:rsidP="00D84E01">
            <w:pPr>
              <w:rPr>
                <w:b/>
              </w:rPr>
            </w:pPr>
            <w:r>
              <w:rPr>
                <w:b/>
              </w:rPr>
              <w:t xml:space="preserve">SSHA Junior Girls </w:t>
            </w:r>
          </w:p>
        </w:tc>
        <w:tc>
          <w:tcPr>
            <w:tcW w:w="2551" w:type="dxa"/>
          </w:tcPr>
          <w:p w14:paraId="53AF7ED7" w14:textId="25387A07" w:rsidR="004E2A54" w:rsidRDefault="00490281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6</w:t>
            </w:r>
            <w:r w:rsidR="004E2A54">
              <w:rPr>
                <w:b/>
              </w:rPr>
              <w:t>0.00</w:t>
            </w:r>
          </w:p>
        </w:tc>
        <w:tc>
          <w:tcPr>
            <w:tcW w:w="2552" w:type="dxa"/>
          </w:tcPr>
          <w:p w14:paraId="0EA1E0CA" w14:textId="6B5AB6F6" w:rsidR="004E2A54" w:rsidRDefault="00855C6A" w:rsidP="00D84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4E01">
              <w:rPr>
                <w:b/>
              </w:rPr>
              <w:t>40</w:t>
            </w:r>
            <w:r w:rsidR="004E2A54">
              <w:rPr>
                <w:b/>
              </w:rPr>
              <w:t>.00</w:t>
            </w:r>
          </w:p>
        </w:tc>
      </w:tr>
      <w:tr w:rsidR="00D84E01" w14:paraId="068716B7" w14:textId="77777777" w:rsidTr="00106F33">
        <w:tc>
          <w:tcPr>
            <w:tcW w:w="4537" w:type="dxa"/>
          </w:tcPr>
          <w:p w14:paraId="2B3E28C8" w14:textId="35817116" w:rsidR="00D84E01" w:rsidRDefault="00D84E01" w:rsidP="00D84E01">
            <w:pPr>
              <w:rPr>
                <w:b/>
              </w:rPr>
            </w:pPr>
            <w:r>
              <w:rPr>
                <w:b/>
              </w:rPr>
              <w:t>SSHA Junior Girls but also registered for Mixed</w:t>
            </w:r>
          </w:p>
        </w:tc>
        <w:tc>
          <w:tcPr>
            <w:tcW w:w="2551" w:type="dxa"/>
          </w:tcPr>
          <w:p w14:paraId="0AAF3A34" w14:textId="41DC2FAF" w:rsidR="00D84E01" w:rsidRDefault="00D84E01" w:rsidP="00D84E01">
            <w:pPr>
              <w:jc w:val="center"/>
              <w:rPr>
                <w:b/>
              </w:rPr>
            </w:pPr>
            <w:r>
              <w:rPr>
                <w:b/>
              </w:rPr>
              <w:t>90.00</w:t>
            </w:r>
          </w:p>
        </w:tc>
        <w:tc>
          <w:tcPr>
            <w:tcW w:w="2552" w:type="dxa"/>
          </w:tcPr>
          <w:p w14:paraId="7F58A38B" w14:textId="7E3A793E" w:rsidR="00D84E01" w:rsidRDefault="00D84E01" w:rsidP="00D84E01">
            <w:pPr>
              <w:jc w:val="center"/>
              <w:rPr>
                <w:b/>
              </w:rPr>
            </w:pPr>
            <w:r>
              <w:rPr>
                <w:b/>
              </w:rPr>
              <w:t>70.00</w:t>
            </w:r>
          </w:p>
        </w:tc>
      </w:tr>
      <w:tr w:rsidR="00106F33" w14:paraId="5D016EC1" w14:textId="77777777" w:rsidTr="00106F33">
        <w:tc>
          <w:tcPr>
            <w:tcW w:w="9640" w:type="dxa"/>
            <w:gridSpan w:val="3"/>
            <w:shd w:val="clear" w:color="auto" w:fill="C6D9F1" w:themeFill="text2" w:themeFillTint="33"/>
          </w:tcPr>
          <w:p w14:paraId="4EF30B32" w14:textId="77777777" w:rsidR="00106F33" w:rsidRDefault="00106F33" w:rsidP="006A559B">
            <w:pPr>
              <w:rPr>
                <w:b/>
              </w:rPr>
            </w:pPr>
            <w:proofErr w:type="spellStart"/>
            <w:r>
              <w:rPr>
                <w:b/>
              </w:rPr>
              <w:t>Minkey</w:t>
            </w:r>
            <w:proofErr w:type="spellEnd"/>
          </w:p>
        </w:tc>
      </w:tr>
      <w:tr w:rsidR="00D84E01" w14:paraId="434FE84A" w14:textId="77777777" w:rsidTr="00F23A8D">
        <w:trPr>
          <w:trHeight w:val="329"/>
        </w:trPr>
        <w:tc>
          <w:tcPr>
            <w:tcW w:w="4537" w:type="dxa"/>
          </w:tcPr>
          <w:p w14:paraId="36F9D46B" w14:textId="39B7FEDA" w:rsidR="00D84E01" w:rsidRDefault="00D84E01" w:rsidP="003F06C9">
            <w:pPr>
              <w:rPr>
                <w:b/>
              </w:rPr>
            </w:pPr>
            <w:r>
              <w:rPr>
                <w:b/>
              </w:rPr>
              <w:t xml:space="preserve">U7 &amp; U9 </w:t>
            </w:r>
            <w:proofErr w:type="spellStart"/>
            <w:r>
              <w:rPr>
                <w:b/>
              </w:rPr>
              <w:t>minkey</w:t>
            </w:r>
            <w:proofErr w:type="spellEnd"/>
          </w:p>
        </w:tc>
        <w:tc>
          <w:tcPr>
            <w:tcW w:w="2551" w:type="dxa"/>
          </w:tcPr>
          <w:p w14:paraId="2956CDB0" w14:textId="7C04D13C" w:rsidR="00D84E01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80.00</w:t>
            </w:r>
          </w:p>
        </w:tc>
        <w:tc>
          <w:tcPr>
            <w:tcW w:w="2552" w:type="dxa"/>
          </w:tcPr>
          <w:p w14:paraId="021D90FD" w14:textId="5FDBD438" w:rsidR="00D84E01" w:rsidRDefault="00D84E01" w:rsidP="00C815E8">
            <w:pPr>
              <w:jc w:val="center"/>
              <w:rPr>
                <w:b/>
              </w:rPr>
            </w:pPr>
            <w:r>
              <w:rPr>
                <w:b/>
              </w:rPr>
              <w:t>60.00</w:t>
            </w:r>
          </w:p>
        </w:tc>
      </w:tr>
      <w:tr w:rsidR="00497E72" w14:paraId="1107E43F" w14:textId="77777777" w:rsidTr="00F23A8D">
        <w:trPr>
          <w:trHeight w:val="301"/>
        </w:trPr>
        <w:tc>
          <w:tcPr>
            <w:tcW w:w="4537" w:type="dxa"/>
          </w:tcPr>
          <w:p w14:paraId="1F861127" w14:textId="6786CC29" w:rsidR="00497E72" w:rsidRDefault="00497E72" w:rsidP="003F06C9">
            <w:pPr>
              <w:rPr>
                <w:b/>
              </w:rPr>
            </w:pPr>
            <w:r>
              <w:rPr>
                <w:b/>
              </w:rPr>
              <w:t>Other Memberships:</w:t>
            </w:r>
          </w:p>
        </w:tc>
        <w:tc>
          <w:tcPr>
            <w:tcW w:w="2551" w:type="dxa"/>
          </w:tcPr>
          <w:p w14:paraId="754CC9F3" w14:textId="77777777" w:rsidR="00497E72" w:rsidRDefault="00497E72" w:rsidP="00F23A8D"/>
        </w:tc>
        <w:tc>
          <w:tcPr>
            <w:tcW w:w="2552" w:type="dxa"/>
          </w:tcPr>
          <w:p w14:paraId="1DEC65BE" w14:textId="77777777" w:rsidR="00497E72" w:rsidRDefault="00497E72" w:rsidP="00C815E8">
            <w:pPr>
              <w:jc w:val="center"/>
              <w:rPr>
                <w:b/>
              </w:rPr>
            </w:pPr>
          </w:p>
        </w:tc>
      </w:tr>
      <w:tr w:rsidR="00497E72" w14:paraId="3E9E8153" w14:textId="77777777" w:rsidTr="00106F33">
        <w:tc>
          <w:tcPr>
            <w:tcW w:w="4537" w:type="dxa"/>
          </w:tcPr>
          <w:p w14:paraId="3D145195" w14:textId="244A2C19" w:rsidR="00497E72" w:rsidRDefault="00497E72" w:rsidP="003F06C9">
            <w:pPr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2551" w:type="dxa"/>
          </w:tcPr>
          <w:p w14:paraId="4F8A944C" w14:textId="1F959669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552" w:type="dxa"/>
          </w:tcPr>
          <w:p w14:paraId="12681947" w14:textId="48B7F7BC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497E72" w14:paraId="740D2975" w14:textId="77777777" w:rsidTr="00106F33">
        <w:tc>
          <w:tcPr>
            <w:tcW w:w="4537" w:type="dxa"/>
          </w:tcPr>
          <w:p w14:paraId="66E6DCB7" w14:textId="16DE961D" w:rsidR="00497E72" w:rsidRDefault="00497E72" w:rsidP="003F06C9">
            <w:pPr>
              <w:rPr>
                <w:b/>
              </w:rPr>
            </w:pPr>
            <w:r>
              <w:rPr>
                <w:b/>
              </w:rPr>
              <w:t>Associate</w:t>
            </w:r>
          </w:p>
        </w:tc>
        <w:tc>
          <w:tcPr>
            <w:tcW w:w="2551" w:type="dxa"/>
          </w:tcPr>
          <w:p w14:paraId="41AE4D98" w14:textId="54A7CCF9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2552" w:type="dxa"/>
          </w:tcPr>
          <w:p w14:paraId="56E39663" w14:textId="446F58F4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497E72" w14:paraId="1AB19BB8" w14:textId="77777777" w:rsidTr="00497E72">
        <w:trPr>
          <w:trHeight w:val="231"/>
        </w:trPr>
        <w:tc>
          <w:tcPr>
            <w:tcW w:w="4537" w:type="dxa"/>
          </w:tcPr>
          <w:p w14:paraId="3CBABE1A" w14:textId="2AAFA13C" w:rsidR="00497E72" w:rsidRDefault="00497E72" w:rsidP="003F06C9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2551" w:type="dxa"/>
          </w:tcPr>
          <w:p w14:paraId="631BBAA5" w14:textId="7EB46313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52" w:type="dxa"/>
          </w:tcPr>
          <w:p w14:paraId="39D4258E" w14:textId="6949D952" w:rsidR="00497E72" w:rsidRDefault="00497E72" w:rsidP="00C815E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7DCD1645" w14:textId="77777777" w:rsidR="00C815E8" w:rsidRDefault="00C815E8" w:rsidP="006A559B">
      <w:pPr>
        <w:rPr>
          <w:b/>
        </w:rPr>
      </w:pPr>
    </w:p>
    <w:p w14:paraId="45A3C440" w14:textId="36AC9428" w:rsidR="00A664AB" w:rsidRPr="00A664AB" w:rsidRDefault="009C3971" w:rsidP="00740A41">
      <w:pPr>
        <w:ind w:left="-567"/>
        <w:jc w:val="both"/>
        <w:rPr>
          <w:rFonts w:ascii="Calibri" w:eastAsia="Times New Roman" w:hAnsi="Calibri"/>
          <w:b/>
          <w:bCs/>
          <w:color w:val="FF0000"/>
          <w:lang w:eastAsia="en-AU"/>
        </w:rPr>
      </w:pPr>
      <w:r w:rsidRPr="009C3971">
        <w:rPr>
          <w:rFonts w:ascii="Calibri" w:eastAsia="Times New Roman" w:hAnsi="Calibri"/>
          <w:b/>
          <w:bCs/>
          <w:color w:val="FF0000"/>
          <w:lang w:eastAsia="en-AU"/>
        </w:rPr>
        <w:t xml:space="preserve">All Fees are exclusive of Hockey NSW &amp; Sydney South </w:t>
      </w:r>
      <w:r w:rsidR="00A664AB">
        <w:rPr>
          <w:rFonts w:ascii="Calibri" w:eastAsia="Times New Roman" w:hAnsi="Calibri"/>
          <w:b/>
          <w:bCs/>
          <w:color w:val="FF0000"/>
          <w:lang w:eastAsia="en-AU"/>
        </w:rPr>
        <w:t xml:space="preserve">Association </w:t>
      </w:r>
      <w:r w:rsidRPr="009C3971">
        <w:rPr>
          <w:rFonts w:ascii="Calibri" w:eastAsia="Times New Roman" w:hAnsi="Calibri"/>
          <w:b/>
          <w:bCs/>
          <w:color w:val="FF0000"/>
          <w:lang w:eastAsia="en-AU"/>
        </w:rPr>
        <w:t xml:space="preserve">Fees which are payable </w:t>
      </w:r>
      <w:r w:rsidR="00A664AB">
        <w:rPr>
          <w:rFonts w:ascii="Calibri" w:eastAsia="Times New Roman" w:hAnsi="Calibri"/>
          <w:b/>
          <w:bCs/>
          <w:color w:val="FF0000"/>
          <w:lang w:eastAsia="en-AU"/>
        </w:rPr>
        <w:t>online and direct to Hockey NSW (this will include</w:t>
      </w:r>
      <w:r w:rsidRPr="009C3971">
        <w:rPr>
          <w:rFonts w:ascii="Calibri" w:eastAsia="Times New Roman" w:hAnsi="Calibri"/>
          <w:b/>
          <w:bCs/>
          <w:color w:val="FF0000"/>
          <w:lang w:eastAsia="en-AU"/>
        </w:rPr>
        <w:t xml:space="preserve"> Sydney South</w:t>
      </w:r>
      <w:r w:rsidR="00A664AB">
        <w:rPr>
          <w:rFonts w:ascii="Calibri" w:eastAsia="Times New Roman" w:hAnsi="Calibri"/>
          <w:b/>
          <w:bCs/>
          <w:color w:val="FF0000"/>
          <w:lang w:eastAsia="en-AU"/>
        </w:rPr>
        <w:t xml:space="preserve"> Fees)</w:t>
      </w:r>
      <w:r w:rsidRPr="009C3971">
        <w:rPr>
          <w:rFonts w:ascii="Calibri" w:eastAsia="Times New Roman" w:hAnsi="Calibri"/>
          <w:b/>
          <w:bCs/>
          <w:color w:val="FF0000"/>
          <w:lang w:eastAsia="en-AU"/>
        </w:rPr>
        <w:t xml:space="preserve">. </w:t>
      </w:r>
      <w:r w:rsidR="00A664AB">
        <w:rPr>
          <w:rFonts w:ascii="Calibri" w:eastAsia="Times New Roman" w:hAnsi="Calibri"/>
          <w:b/>
          <w:bCs/>
          <w:color w:val="FF0000"/>
          <w:lang w:eastAsia="en-AU"/>
        </w:rPr>
        <w:t xml:space="preserve"> All Sutherland Hockey Club Fees are to </w:t>
      </w:r>
      <w:proofErr w:type="gramStart"/>
      <w:r w:rsidR="00A664AB">
        <w:rPr>
          <w:rFonts w:ascii="Calibri" w:eastAsia="Times New Roman" w:hAnsi="Calibri"/>
          <w:b/>
          <w:bCs/>
          <w:color w:val="FF0000"/>
          <w:lang w:eastAsia="en-AU"/>
        </w:rPr>
        <w:t>be paid</w:t>
      </w:r>
      <w:proofErr w:type="gramEnd"/>
      <w:r w:rsidR="00A664AB">
        <w:rPr>
          <w:rFonts w:ascii="Calibri" w:eastAsia="Times New Roman" w:hAnsi="Calibri"/>
          <w:b/>
          <w:bCs/>
          <w:color w:val="FF0000"/>
          <w:lang w:eastAsia="en-AU"/>
        </w:rPr>
        <w:t xml:space="preserve"> direct to Sutherland Hockey Club (direct deposit to SDHC account preferred)</w:t>
      </w:r>
    </w:p>
    <w:p w14:paraId="5E50E32B" w14:textId="4A574EC3" w:rsidR="00A664AB" w:rsidRDefault="003F06C9" w:rsidP="00740A41">
      <w:pPr>
        <w:ind w:left="-567"/>
        <w:rPr>
          <w:rFonts w:ascii="Calibri" w:eastAsia="Times New Roman" w:hAnsi="Calibri"/>
          <w:b/>
          <w:bCs/>
          <w:color w:val="1F497D" w:themeColor="text2"/>
          <w:lang w:eastAsia="en-AU"/>
        </w:rPr>
      </w:pPr>
      <w:r w:rsidRPr="009C3971">
        <w:rPr>
          <w:rFonts w:ascii="Calibri" w:eastAsia="Times New Roman" w:hAnsi="Calibri"/>
          <w:b/>
          <w:bCs/>
          <w:color w:val="1F497D" w:themeColor="text2"/>
          <w:lang w:eastAsia="en-AU"/>
        </w:rPr>
        <w:t>*</w:t>
      </w:r>
      <w:r w:rsidR="00A664AB">
        <w:rPr>
          <w:rFonts w:ascii="Calibri" w:eastAsia="Times New Roman" w:hAnsi="Calibri"/>
          <w:b/>
          <w:bCs/>
          <w:color w:val="1F497D" w:themeColor="text2"/>
          <w:lang w:eastAsia="en-AU"/>
        </w:rPr>
        <w:t xml:space="preserve"> </w:t>
      </w:r>
      <w:r w:rsidRPr="009C3971">
        <w:rPr>
          <w:rFonts w:ascii="Calibri" w:eastAsia="Times New Roman" w:hAnsi="Calibri"/>
          <w:b/>
          <w:bCs/>
          <w:color w:val="1F497D" w:themeColor="text2"/>
          <w:lang w:eastAsia="en-AU"/>
        </w:rPr>
        <w:t>Junior Playing Senior Fee applies to juniors who have also paid a junior SDHC fee. Juniors under this fee only need to pay Hockey NSW and Sydney South Fee once.</w:t>
      </w:r>
    </w:p>
    <w:p w14:paraId="15852CAD" w14:textId="77777777" w:rsidR="00740A41" w:rsidRDefault="00A664AB" w:rsidP="00740A41">
      <w:pPr>
        <w:ind w:left="-567"/>
        <w:rPr>
          <w:rFonts w:ascii="Calibri" w:eastAsia="Times New Roman" w:hAnsi="Calibri"/>
          <w:color w:val="7030A0"/>
          <w:lang w:eastAsia="en-AU"/>
        </w:rPr>
      </w:pPr>
      <w:r w:rsidRPr="00A664AB">
        <w:rPr>
          <w:rFonts w:ascii="Calibri" w:eastAsia="Times New Roman" w:hAnsi="Calibri"/>
          <w:b/>
          <w:bCs/>
          <w:color w:val="7030A0"/>
          <w:lang w:eastAsia="en-AU"/>
        </w:rPr>
        <w:t>** Goalie</w:t>
      </w:r>
      <w:r w:rsidRPr="00A664AB">
        <w:rPr>
          <w:rFonts w:ascii="Calibri" w:eastAsia="Times New Roman" w:hAnsi="Calibri"/>
          <w:color w:val="7030A0"/>
          <w:lang w:eastAsia="en-AU"/>
        </w:rPr>
        <w:t xml:space="preserve"> </w:t>
      </w:r>
      <w:r w:rsidRPr="00A664AB">
        <w:rPr>
          <w:rFonts w:ascii="Calibri" w:eastAsia="Times New Roman" w:hAnsi="Calibri"/>
          <w:b/>
          <w:bCs/>
          <w:color w:val="7030A0"/>
          <w:lang w:eastAsia="en-AU"/>
        </w:rPr>
        <w:t>discount</w:t>
      </w:r>
      <w:r w:rsidRPr="00A664AB">
        <w:rPr>
          <w:rFonts w:ascii="Calibri" w:eastAsia="Times New Roman" w:hAnsi="Calibri"/>
          <w:color w:val="7030A0"/>
          <w:lang w:eastAsia="en-AU"/>
        </w:rPr>
        <w:t xml:space="preserve"> applies to Goalies with their own gear ONLY</w:t>
      </w:r>
    </w:p>
    <w:p w14:paraId="28544312" w14:textId="310FB49A" w:rsidR="009C3971" w:rsidRPr="00740A41" w:rsidRDefault="003F06C9" w:rsidP="00740A41">
      <w:pPr>
        <w:ind w:left="-567"/>
        <w:rPr>
          <w:rFonts w:ascii="Calibri" w:eastAsia="Times New Roman" w:hAnsi="Calibri"/>
          <w:b/>
          <w:bCs/>
          <w:color w:val="7030A0"/>
          <w:lang w:eastAsia="en-AU"/>
        </w:rPr>
      </w:pPr>
      <w:r w:rsidRPr="009C3971">
        <w:rPr>
          <w:rFonts w:ascii="Calibri" w:eastAsia="Times New Roman" w:hAnsi="Calibri"/>
          <w:b/>
          <w:bCs/>
          <w:color w:val="1F497D" w:themeColor="text2"/>
          <w:lang w:eastAsia="en-AU"/>
        </w:rPr>
        <w:t>N</w:t>
      </w:r>
      <w:r w:rsidR="00A664AB">
        <w:rPr>
          <w:rFonts w:ascii="Calibri" w:eastAsia="Times New Roman" w:hAnsi="Calibri"/>
          <w:b/>
          <w:bCs/>
          <w:color w:val="1F497D" w:themeColor="text2"/>
          <w:lang w:eastAsia="en-AU"/>
        </w:rPr>
        <w:t>ote:</w:t>
      </w:r>
      <w:r w:rsidRPr="009C3971">
        <w:rPr>
          <w:rFonts w:ascii="Calibri" w:eastAsia="Times New Roman" w:hAnsi="Calibri"/>
          <w:color w:val="1F497D" w:themeColor="text2"/>
          <w:lang w:eastAsia="en-AU"/>
        </w:rPr>
        <w:t xml:space="preserve"> </w:t>
      </w:r>
      <w:r w:rsidRPr="009C3971">
        <w:rPr>
          <w:rFonts w:ascii="Calibri" w:eastAsia="Times New Roman" w:hAnsi="Calibri"/>
          <w:b/>
          <w:bCs/>
          <w:color w:val="1F497D" w:themeColor="text2"/>
          <w:lang w:eastAsia="en-AU"/>
        </w:rPr>
        <w:t>Sibling discount</w:t>
      </w:r>
      <w:r w:rsidRPr="009C3971">
        <w:rPr>
          <w:rFonts w:ascii="Calibri" w:eastAsia="Times New Roman" w:hAnsi="Calibri"/>
          <w:color w:val="1F497D" w:themeColor="text2"/>
          <w:lang w:eastAsia="en-AU"/>
        </w:rPr>
        <w:t xml:space="preserve"> </w:t>
      </w:r>
      <w:r w:rsidRPr="003F06C9">
        <w:rPr>
          <w:rFonts w:ascii="Calibri" w:eastAsia="Times New Roman" w:hAnsi="Calibri"/>
          <w:color w:val="000000"/>
          <w:lang w:eastAsia="en-AU"/>
        </w:rPr>
        <w:t xml:space="preserve">applies to subsequent children playing with SDHC only i.e. </w:t>
      </w:r>
      <w:proofErr w:type="gramStart"/>
      <w:r w:rsidRPr="003F06C9">
        <w:rPr>
          <w:rFonts w:ascii="Calibri" w:eastAsia="Times New Roman" w:hAnsi="Calibri"/>
          <w:color w:val="000000"/>
          <w:lang w:eastAsia="en-AU"/>
        </w:rPr>
        <w:t>1st</w:t>
      </w:r>
      <w:proofErr w:type="gramEnd"/>
      <w:r w:rsidRPr="003F06C9">
        <w:rPr>
          <w:rFonts w:ascii="Calibri" w:eastAsia="Times New Roman" w:hAnsi="Calibri"/>
          <w:color w:val="000000"/>
          <w:lang w:eastAsia="en-AU"/>
        </w:rPr>
        <w:t xml:space="preserve"> Child pays full fee remaining children receive $</w:t>
      </w:r>
      <w:r w:rsidR="002630DE">
        <w:rPr>
          <w:rFonts w:ascii="Calibri" w:eastAsia="Times New Roman" w:hAnsi="Calibri"/>
          <w:color w:val="000000"/>
          <w:lang w:eastAsia="en-AU"/>
        </w:rPr>
        <w:t>20</w:t>
      </w:r>
      <w:r w:rsidR="00A664AB">
        <w:rPr>
          <w:rFonts w:ascii="Calibri" w:eastAsia="Times New Roman" w:hAnsi="Calibri"/>
          <w:color w:val="000000"/>
          <w:lang w:eastAsia="en-AU"/>
        </w:rPr>
        <w:t xml:space="preserve"> from their appropriate fee. </w:t>
      </w:r>
    </w:p>
    <w:p w14:paraId="5EC947A7" w14:textId="77777777" w:rsidR="00740A41" w:rsidRDefault="00740A41" w:rsidP="003F06C9">
      <w:pPr>
        <w:rPr>
          <w:rFonts w:ascii="Calibri" w:eastAsia="Times New Roman" w:hAnsi="Calibri"/>
          <w:color w:val="000000"/>
          <w:lang w:eastAsia="en-AU"/>
        </w:rPr>
      </w:pPr>
    </w:p>
    <w:p w14:paraId="64AD6189" w14:textId="0EAEC211" w:rsidR="00761861" w:rsidRPr="009E4EEA" w:rsidRDefault="009E4EEA" w:rsidP="003F06C9">
      <w:pPr>
        <w:rPr>
          <w:rFonts w:ascii="Calibri" w:eastAsia="Times New Roman" w:hAnsi="Calibri"/>
          <w:color w:val="000000"/>
          <w:sz w:val="28"/>
          <w:szCs w:val="28"/>
          <w:lang w:eastAsia="en-AU"/>
        </w:rPr>
      </w:pPr>
      <w:r w:rsidRPr="009E4EEA">
        <w:rPr>
          <w:rFonts w:ascii="Calibri" w:eastAsia="Times New Roman" w:hAnsi="Calibri"/>
          <w:color w:val="000000"/>
          <w:sz w:val="28"/>
          <w:szCs w:val="28"/>
          <w:lang w:eastAsia="en-AU"/>
        </w:rPr>
        <w:t>2018 HNSW SCHEDULE OF FEES:</w:t>
      </w:r>
    </w:p>
    <w:p w14:paraId="307C8047" w14:textId="77777777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6F6CA7A0" w14:textId="77777777" w:rsidR="009E4EEA" w:rsidRPr="009E4EEA" w:rsidRDefault="009E4EEA" w:rsidP="009E4EEA">
      <w:pPr>
        <w:rPr>
          <w:rFonts w:eastAsia="Times New Roman"/>
        </w:rPr>
      </w:pPr>
      <w:r w:rsidRPr="009E4EEA">
        <w:rPr>
          <w:rFonts w:eastAsia="Times New Roman"/>
        </w:rPr>
        <w:t xml:space="preserve">The following fees are applicable for individual registrations to Hockey NSW and </w:t>
      </w:r>
      <w:proofErr w:type="gramStart"/>
      <w:r w:rsidRPr="009E4EEA">
        <w:rPr>
          <w:rFonts w:eastAsia="Times New Roman"/>
        </w:rPr>
        <w:t>must be paid</w:t>
      </w:r>
      <w:proofErr w:type="gramEnd"/>
      <w:r w:rsidRPr="009E4EEA">
        <w:rPr>
          <w:rFonts w:eastAsia="Times New Roman"/>
        </w:rPr>
        <w:t xml:space="preserve"> online via the </w:t>
      </w:r>
      <w:proofErr w:type="spellStart"/>
      <w:r w:rsidRPr="009E4EEA">
        <w:rPr>
          <w:rFonts w:eastAsia="Times New Roman"/>
        </w:rPr>
        <w:t>revolutionise</w:t>
      </w:r>
      <w:proofErr w:type="spellEnd"/>
      <w:r w:rsidRPr="009E4EEA">
        <w:rPr>
          <w:rFonts w:eastAsia="Times New Roman"/>
        </w:rPr>
        <w:t xml:space="preserve"> system:</w:t>
      </w:r>
    </w:p>
    <w:p w14:paraId="66E1768C" w14:textId="77777777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7AEEE1ED" w14:textId="26A8B034" w:rsidR="00545D4D" w:rsidRDefault="009E4EEA" w:rsidP="003F06C9">
      <w:pPr>
        <w:rPr>
          <w:rFonts w:ascii="Calibri" w:eastAsia="Times New Roman" w:hAnsi="Calibri"/>
          <w:color w:val="000000"/>
          <w:lang w:eastAsia="en-AU"/>
        </w:rPr>
      </w:pPr>
      <w:r>
        <w:rPr>
          <w:rFonts w:ascii="Calibri" w:eastAsia="Times New Roman" w:hAnsi="Calibri"/>
          <w:noProof/>
          <w:color w:val="000000"/>
          <w:lang w:val="en-AU" w:eastAsia="en-AU"/>
        </w:rPr>
        <w:drawing>
          <wp:inline distT="0" distB="0" distL="0" distR="0" wp14:anchorId="2B61D7DE" wp14:editId="2C1116E9">
            <wp:extent cx="5730875" cy="3404235"/>
            <wp:effectExtent l="0" t="0" r="9525" b="0"/>
            <wp:docPr id="3" name="Picture 3" descr="../Desktop/Screen%20Shot%202017-12-19%20at%2012.44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7-12-19%20at%2012.44.09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EBF1" w14:textId="77777777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107C696D" w14:textId="17D19838" w:rsidR="009E4EEA" w:rsidRPr="009E4EEA" w:rsidRDefault="009E4EEA" w:rsidP="003F06C9">
      <w:pPr>
        <w:rPr>
          <w:rFonts w:ascii="Calibri" w:eastAsia="Times New Roman" w:hAnsi="Calibri"/>
          <w:color w:val="000000"/>
          <w:sz w:val="28"/>
          <w:szCs w:val="28"/>
          <w:lang w:eastAsia="en-AU"/>
        </w:rPr>
      </w:pPr>
      <w:proofErr w:type="gramStart"/>
      <w:r w:rsidRPr="009E4EEA">
        <w:rPr>
          <w:rFonts w:ascii="Calibri" w:eastAsia="Times New Roman" w:hAnsi="Calibri"/>
          <w:color w:val="000000"/>
          <w:sz w:val="28"/>
          <w:szCs w:val="28"/>
          <w:lang w:eastAsia="en-AU"/>
        </w:rPr>
        <w:t>2018</w:t>
      </w:r>
      <w:proofErr w:type="gramEnd"/>
      <w:r w:rsidRPr="009E4EEA">
        <w:rPr>
          <w:rFonts w:ascii="Calibri" w:eastAsia="Times New Roman" w:hAnsi="Calibri"/>
          <w:color w:val="000000"/>
          <w:sz w:val="28"/>
          <w:szCs w:val="28"/>
          <w:lang w:eastAsia="en-AU"/>
        </w:rPr>
        <w:t xml:space="preserve"> SYDNEY SOUTH ASSOCATION FEES (not </w:t>
      </w:r>
      <w:r w:rsidR="00740A41">
        <w:rPr>
          <w:rFonts w:ascii="Calibri" w:eastAsia="Times New Roman" w:hAnsi="Calibri"/>
          <w:color w:val="000000"/>
          <w:sz w:val="28"/>
          <w:szCs w:val="28"/>
          <w:lang w:eastAsia="en-AU"/>
        </w:rPr>
        <w:t>confirmed</w:t>
      </w:r>
      <w:r w:rsidRPr="009E4EEA">
        <w:rPr>
          <w:rFonts w:ascii="Calibri" w:eastAsia="Times New Roman" w:hAnsi="Calibri"/>
          <w:color w:val="000000"/>
          <w:sz w:val="28"/>
          <w:szCs w:val="28"/>
          <w:lang w:eastAsia="en-AU"/>
        </w:rPr>
        <w:t>)</w:t>
      </w:r>
    </w:p>
    <w:p w14:paraId="7EB63F1C" w14:textId="77777777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08A2A237" w14:textId="513EE1E6" w:rsidR="009E4EEA" w:rsidRPr="00740A41" w:rsidRDefault="009E4EEA" w:rsidP="009E4EEA">
      <w:pPr>
        <w:rPr>
          <w:rFonts w:eastAsia="Times New Roman"/>
        </w:rPr>
      </w:pPr>
      <w:r w:rsidRPr="00740A41">
        <w:rPr>
          <w:rFonts w:eastAsia="Times New Roman"/>
          <w:color w:val="000000"/>
          <w:lang w:eastAsia="en-AU"/>
        </w:rPr>
        <w:t>Paid along with HNSW fees</w:t>
      </w:r>
      <w:r w:rsidRPr="009E4EEA">
        <w:rPr>
          <w:rFonts w:eastAsia="Times New Roman"/>
        </w:rPr>
        <w:t xml:space="preserve"> online via the </w:t>
      </w:r>
      <w:proofErr w:type="spellStart"/>
      <w:r w:rsidRPr="009E4EEA">
        <w:rPr>
          <w:rFonts w:eastAsia="Times New Roman"/>
        </w:rPr>
        <w:t>revolutionise</w:t>
      </w:r>
      <w:proofErr w:type="spellEnd"/>
      <w:r w:rsidRPr="009E4EEA">
        <w:rPr>
          <w:rFonts w:eastAsia="Times New Roman"/>
        </w:rPr>
        <w:t xml:space="preserve"> system:</w:t>
      </w:r>
    </w:p>
    <w:p w14:paraId="746D028D" w14:textId="77777777" w:rsidR="009E4EEA" w:rsidRDefault="009E4EEA" w:rsidP="009E4EEA">
      <w:pPr>
        <w:rPr>
          <w:rFonts w:eastAsia="Times New Roman"/>
        </w:rPr>
      </w:pPr>
    </w:p>
    <w:p w14:paraId="1507DECD" w14:textId="6FC38C30" w:rsidR="009E4EEA" w:rsidRDefault="00740A41" w:rsidP="009E4EEA">
      <w:pPr>
        <w:rPr>
          <w:rFonts w:eastAsia="Times New Roman"/>
        </w:rPr>
      </w:pPr>
      <w:r>
        <w:rPr>
          <w:rFonts w:eastAsia="Times New Roman"/>
        </w:rPr>
        <w:t xml:space="preserve">SSHA </w:t>
      </w:r>
      <w:r w:rsidR="009E4EEA">
        <w:rPr>
          <w:rFonts w:eastAsia="Times New Roman"/>
        </w:rPr>
        <w:t xml:space="preserve">FEES </w:t>
      </w:r>
      <w:r>
        <w:rPr>
          <w:rFonts w:eastAsia="Times New Roman"/>
        </w:rPr>
        <w:t xml:space="preserve">are </w:t>
      </w:r>
      <w:r w:rsidR="009E4EEA">
        <w:rPr>
          <w:rFonts w:eastAsia="Times New Roman"/>
        </w:rPr>
        <w:t xml:space="preserve">likely to be $20 per player except for </w:t>
      </w:r>
      <w:proofErr w:type="gramStart"/>
      <w:r w:rsidR="009E4EEA">
        <w:rPr>
          <w:rFonts w:eastAsia="Times New Roman"/>
        </w:rPr>
        <w:t>U9’s</w:t>
      </w:r>
      <w:proofErr w:type="gramEnd"/>
      <w:r w:rsidR="009E4EEA">
        <w:rPr>
          <w:rFonts w:eastAsia="Times New Roman"/>
        </w:rPr>
        <w:t xml:space="preserve"> who are likely to be $10 per player.</w:t>
      </w:r>
    </w:p>
    <w:p w14:paraId="389D287C" w14:textId="77777777" w:rsidR="00740A41" w:rsidRDefault="00740A41" w:rsidP="009E4EEA">
      <w:pPr>
        <w:rPr>
          <w:rFonts w:eastAsia="Times New Roman"/>
        </w:rPr>
      </w:pPr>
    </w:p>
    <w:p w14:paraId="3E0F3B6B" w14:textId="69673D07" w:rsidR="00740A41" w:rsidRDefault="00740A41" w:rsidP="00740A41">
      <w:pPr>
        <w:rPr>
          <w:rFonts w:eastAsia="Times New Roman"/>
        </w:rPr>
      </w:pPr>
      <w:r>
        <w:rPr>
          <w:rFonts w:eastAsia="Times New Roman"/>
        </w:rPr>
        <w:t xml:space="preserve">This covers the </w:t>
      </w:r>
      <w:r w:rsidRPr="00740A41">
        <w:rPr>
          <w:rFonts w:eastAsia="Times New Roman"/>
          <w:b/>
        </w:rPr>
        <w:t>ASSOCIATION AFFILIATION FEE</w:t>
      </w:r>
      <w:r>
        <w:rPr>
          <w:rFonts w:eastAsia="Times New Roman"/>
        </w:rPr>
        <w:t xml:space="preserve"> charged to all associations by HNSW $7.50 + $0.75 (GST) = $8.25 (incl. GST) per registered player (Players primary Association to pay) Fee to be based on 2017 Registrations Invoiced 1st March 2018 – Payment due 31st March 2018</w:t>
      </w:r>
    </w:p>
    <w:p w14:paraId="10110BF3" w14:textId="79041957" w:rsidR="00740A41" w:rsidRPr="009E4EEA" w:rsidRDefault="00740A41" w:rsidP="009E4EEA">
      <w:pPr>
        <w:rPr>
          <w:rFonts w:eastAsia="Times New Roman"/>
        </w:rPr>
      </w:pPr>
    </w:p>
    <w:p w14:paraId="30A01BF8" w14:textId="095DCA3F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3C529F4A" w14:textId="48B5AA48" w:rsidR="009E4EEA" w:rsidRDefault="009E4EEA" w:rsidP="009E4EEA">
      <w:pPr>
        <w:rPr>
          <w:rFonts w:eastAsia="Times New Roman"/>
        </w:rPr>
      </w:pPr>
      <w:r w:rsidRPr="009E4EEA">
        <w:rPr>
          <w:rFonts w:eastAsia="Times New Roman"/>
          <w:b/>
        </w:rPr>
        <w:t>HOCKEY NSW MASTERS ONLY FEE</w:t>
      </w:r>
      <w:r>
        <w:rPr>
          <w:rFonts w:eastAsia="Times New Roman"/>
        </w:rPr>
        <w:t xml:space="preserve"> The Masters Only Registration fee has been approved by the Board of Hockey NSW, with the following conditions: • This registration is for the use by players who ONLY compete in one Hockey NSW Masters Field State Championship (usually 4 or 5 games over ONE weekend). • This registration is only </w:t>
      </w:r>
      <w:proofErr w:type="gramStart"/>
      <w:r>
        <w:rPr>
          <w:rFonts w:eastAsia="Times New Roman"/>
        </w:rPr>
        <w:t>available</w:t>
      </w:r>
      <w:proofErr w:type="gramEnd"/>
      <w:r>
        <w:rPr>
          <w:rFonts w:eastAsia="Times New Roman"/>
        </w:rPr>
        <w:t xml:space="preserve"> via the Hockey NSW Masters Association in </w:t>
      </w:r>
      <w:proofErr w:type="spellStart"/>
      <w:r>
        <w:rPr>
          <w:rFonts w:eastAsia="Times New Roman"/>
        </w:rPr>
        <w:t>revolutionise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• If a player decides to play in more than one Hockey NSW Masters Field State Championship</w:t>
      </w:r>
      <w:proofErr w:type="gramEnd"/>
      <w:r>
        <w:rPr>
          <w:rFonts w:eastAsia="Times New Roman"/>
        </w:rPr>
        <w:t xml:space="preserve"> they will need to upgrade their Subscription to the Adult Membership category.</w:t>
      </w:r>
    </w:p>
    <w:p w14:paraId="1DCC3851" w14:textId="77777777" w:rsidR="00740A41" w:rsidRDefault="00740A41" w:rsidP="009E4EEA">
      <w:pPr>
        <w:rPr>
          <w:rFonts w:eastAsia="Times New Roman"/>
        </w:rPr>
      </w:pPr>
    </w:p>
    <w:p w14:paraId="25D5E7B5" w14:textId="77777777" w:rsidR="009E4EEA" w:rsidRDefault="009E4EEA" w:rsidP="003F06C9">
      <w:pPr>
        <w:rPr>
          <w:rFonts w:ascii="Calibri" w:eastAsia="Times New Roman" w:hAnsi="Calibri"/>
          <w:color w:val="000000"/>
          <w:lang w:eastAsia="en-AU"/>
        </w:rPr>
      </w:pPr>
    </w:p>
    <w:p w14:paraId="6042B9F5" w14:textId="77777777" w:rsidR="00740A41" w:rsidRDefault="00740A41" w:rsidP="00740A41">
      <w:pPr>
        <w:rPr>
          <w:rFonts w:eastAsia="Times New Roman"/>
        </w:rPr>
      </w:pPr>
      <w:r w:rsidRPr="00740A41">
        <w:rPr>
          <w:rFonts w:eastAsia="Times New Roman"/>
          <w:b/>
        </w:rPr>
        <w:t>INSURANCE</w:t>
      </w:r>
      <w:r>
        <w:rPr>
          <w:rFonts w:eastAsia="Times New Roman"/>
        </w:rPr>
        <w:t xml:space="preserve"> The 2018 Registration Fee provides insurance coverage from </w:t>
      </w:r>
      <w:proofErr w:type="gramStart"/>
      <w:r>
        <w:rPr>
          <w:rFonts w:eastAsia="Times New Roman"/>
        </w:rPr>
        <w:t>1st</w:t>
      </w:r>
      <w:proofErr w:type="gramEnd"/>
      <w:r>
        <w:rPr>
          <w:rFonts w:eastAsia="Times New Roman"/>
        </w:rPr>
        <w:t xml:space="preserve"> April 2018 - 31st March 2019. </w:t>
      </w:r>
    </w:p>
    <w:p w14:paraId="30559176" w14:textId="77777777" w:rsidR="00740A41" w:rsidRDefault="00740A41" w:rsidP="00740A41">
      <w:pPr>
        <w:rPr>
          <w:rFonts w:eastAsia="Times New Roman"/>
        </w:rPr>
      </w:pPr>
    </w:p>
    <w:p w14:paraId="1C63BF13" w14:textId="77777777" w:rsidR="00740A41" w:rsidRDefault="00740A41" w:rsidP="00740A41">
      <w:pPr>
        <w:rPr>
          <w:rFonts w:eastAsia="Times New Roman"/>
        </w:rPr>
      </w:pPr>
      <w:r w:rsidRPr="00740A41">
        <w:rPr>
          <w:rFonts w:eastAsia="Times New Roman"/>
          <w:b/>
        </w:rPr>
        <w:lastRenderedPageBreak/>
        <w:t>ACTIVE KIDS REBATE</w:t>
      </w:r>
      <w:r>
        <w:rPr>
          <w:rFonts w:eastAsia="Times New Roman"/>
        </w:rPr>
        <w:t xml:space="preserve"> </w:t>
      </w:r>
    </w:p>
    <w:p w14:paraId="5DBA1CFA" w14:textId="77777777" w:rsidR="00740A41" w:rsidRDefault="00740A41" w:rsidP="00740A41">
      <w:pPr>
        <w:rPr>
          <w:rFonts w:eastAsia="Times New Roman"/>
        </w:rPr>
      </w:pPr>
    </w:p>
    <w:p w14:paraId="7A4262CF" w14:textId="338A959E" w:rsidR="00740A41" w:rsidRDefault="00740A41" w:rsidP="00740A41">
      <w:pPr>
        <w:rPr>
          <w:rFonts w:eastAsia="Times New Roman"/>
        </w:rPr>
      </w:pPr>
      <w:r>
        <w:rPr>
          <w:rFonts w:eastAsia="Times New Roman"/>
        </w:rPr>
        <w:t>In 2018, the NSW Government will provide a $100 rebate through a voucher system to parents/guardians/</w:t>
      </w:r>
      <w:proofErr w:type="spellStart"/>
      <w:r>
        <w:rPr>
          <w:rFonts w:eastAsia="Times New Roman"/>
        </w:rPr>
        <w:t>carers</w:t>
      </w:r>
      <w:proofErr w:type="spellEnd"/>
      <w:r>
        <w:rPr>
          <w:rFonts w:eastAsia="Times New Roman"/>
        </w:rPr>
        <w:t xml:space="preserve"> to contribute to the cost of their children’s participation in sport. The voucher </w:t>
      </w:r>
      <w:proofErr w:type="gramStart"/>
      <w:r>
        <w:rPr>
          <w:rFonts w:eastAsia="Times New Roman"/>
        </w:rPr>
        <w:t>can be redeemed</w:t>
      </w:r>
      <w:proofErr w:type="gramEnd"/>
      <w:r>
        <w:rPr>
          <w:rFonts w:eastAsia="Times New Roman"/>
        </w:rPr>
        <w:t xml:space="preserve"> towards payment of registration fees each calendar year. </w:t>
      </w:r>
    </w:p>
    <w:p w14:paraId="20FAC80C" w14:textId="77777777" w:rsidR="00740A41" w:rsidRDefault="00740A41" w:rsidP="00740A41">
      <w:pPr>
        <w:rPr>
          <w:rFonts w:eastAsia="Times New Roman"/>
        </w:rPr>
      </w:pPr>
      <w:r>
        <w:rPr>
          <w:rFonts w:eastAsia="Times New Roman"/>
        </w:rPr>
        <w:t xml:space="preserve">The program will go live from January </w:t>
      </w:r>
      <w:proofErr w:type="gramStart"/>
      <w:r>
        <w:rPr>
          <w:rFonts w:eastAsia="Times New Roman"/>
        </w:rPr>
        <w:t>31st</w:t>
      </w:r>
      <w:proofErr w:type="gramEnd"/>
      <w:r>
        <w:rPr>
          <w:rFonts w:eastAsia="Times New Roman"/>
        </w:rPr>
        <w:t xml:space="preserve">, 2018. </w:t>
      </w:r>
      <w:r w:rsidRPr="00740A41">
        <w:rPr>
          <w:rFonts w:eastAsia="Times New Roman"/>
        </w:rPr>
        <w:t xml:space="preserve"> </w:t>
      </w:r>
    </w:p>
    <w:p w14:paraId="5B1BD46B" w14:textId="77777777" w:rsidR="00740A41" w:rsidRDefault="00740A41" w:rsidP="00740A41">
      <w:pPr>
        <w:rPr>
          <w:rFonts w:eastAsia="Times New Roman"/>
        </w:rPr>
      </w:pPr>
    </w:p>
    <w:p w14:paraId="18EEA3F4" w14:textId="55B0F5EB" w:rsidR="00740A41" w:rsidRDefault="00740A41" w:rsidP="00740A41">
      <w:pPr>
        <w:rPr>
          <w:rFonts w:eastAsia="Times New Roman"/>
        </w:rPr>
      </w:pPr>
      <w:r>
        <w:rPr>
          <w:rFonts w:eastAsia="Times New Roman"/>
        </w:rPr>
        <w:t xml:space="preserve">Hockey NSW has been working with </w:t>
      </w:r>
      <w:proofErr w:type="spellStart"/>
      <w:r>
        <w:rPr>
          <w:rFonts w:eastAsia="Times New Roman"/>
        </w:rPr>
        <w:t>revolutionise</w:t>
      </w:r>
      <w:proofErr w:type="spellEnd"/>
      <w:r>
        <w:rPr>
          <w:rFonts w:eastAsia="Times New Roman"/>
        </w:rPr>
        <w:t xml:space="preserve"> to prepare the online registration system so that </w:t>
      </w:r>
      <w:proofErr w:type="gramStart"/>
      <w:r>
        <w:rPr>
          <w:rFonts w:eastAsia="Times New Roman"/>
        </w:rPr>
        <w:t>the Active Kids Rebate voucher can be used by families</w:t>
      </w:r>
      <w:proofErr w:type="gramEnd"/>
      <w:r>
        <w:rPr>
          <w:rFonts w:eastAsia="Times New Roman"/>
        </w:rPr>
        <w:t xml:space="preserve"> for the 2018 winter season. To align with the launch of the Active Kids Rebate program, Hockey NSW will open registrations on </w:t>
      </w:r>
      <w:proofErr w:type="gramStart"/>
      <w:r w:rsidRPr="00740A41">
        <w:rPr>
          <w:rFonts w:eastAsia="Times New Roman"/>
          <w:b/>
        </w:rPr>
        <w:t>1st</w:t>
      </w:r>
      <w:proofErr w:type="gramEnd"/>
      <w:r w:rsidRPr="00740A41">
        <w:rPr>
          <w:rFonts w:eastAsia="Times New Roman"/>
          <w:b/>
        </w:rPr>
        <w:t xml:space="preserve"> February 2018.</w:t>
      </w:r>
      <w:r>
        <w:rPr>
          <w:rFonts w:eastAsia="Times New Roman"/>
        </w:rPr>
        <w:t xml:space="preserve"> For further information on the </w:t>
      </w:r>
      <w:proofErr w:type="gramStart"/>
      <w:r>
        <w:rPr>
          <w:rFonts w:eastAsia="Times New Roman"/>
        </w:rPr>
        <w:t>program</w:t>
      </w:r>
      <w:proofErr w:type="gramEnd"/>
      <w:r>
        <w:rPr>
          <w:rFonts w:eastAsia="Times New Roman"/>
        </w:rPr>
        <w:t xml:space="preserve"> visit the Office of Sport website:</w:t>
      </w:r>
    </w:p>
    <w:p w14:paraId="00D72B8A" w14:textId="77777777" w:rsidR="00740A41" w:rsidRDefault="00740A41" w:rsidP="00740A41">
      <w:pPr>
        <w:rPr>
          <w:rFonts w:eastAsia="Times New Roman"/>
        </w:rPr>
      </w:pPr>
    </w:p>
    <w:p w14:paraId="59AE0793" w14:textId="55BF0FC1" w:rsidR="00740A41" w:rsidRDefault="008379F3" w:rsidP="00740A41">
      <w:pPr>
        <w:rPr>
          <w:rFonts w:eastAsia="Times New Roman"/>
        </w:rPr>
      </w:pPr>
      <w:hyperlink r:id="rId7" w:history="1">
        <w:r w:rsidR="00740A41" w:rsidRPr="00A477AE">
          <w:rPr>
            <w:rStyle w:val="Hyperlink"/>
            <w:rFonts w:eastAsia="Times New Roman"/>
          </w:rPr>
          <w:t>https://sport.nsw.gov.au/sectordevelopment/activekids</w:t>
        </w:r>
      </w:hyperlink>
    </w:p>
    <w:p w14:paraId="0C120DB9" w14:textId="77777777" w:rsidR="00740A41" w:rsidRDefault="00740A41" w:rsidP="00740A41">
      <w:pPr>
        <w:rPr>
          <w:rFonts w:eastAsia="Times New Roman"/>
        </w:rPr>
      </w:pPr>
    </w:p>
    <w:p w14:paraId="2C1F712C" w14:textId="77777777" w:rsidR="00740A41" w:rsidRDefault="00740A41" w:rsidP="00740A41">
      <w:pPr>
        <w:rPr>
          <w:rFonts w:eastAsia="Times New Roman"/>
        </w:rPr>
      </w:pPr>
    </w:p>
    <w:p w14:paraId="1A600BBC" w14:textId="39A5FFDD" w:rsidR="00740A41" w:rsidRDefault="00740A41" w:rsidP="00740A41">
      <w:pPr>
        <w:rPr>
          <w:rFonts w:eastAsia="Times New Roman"/>
        </w:rPr>
      </w:pPr>
    </w:p>
    <w:p w14:paraId="3BE60C71" w14:textId="77777777" w:rsidR="00740A41" w:rsidRDefault="00740A41" w:rsidP="003F06C9">
      <w:pPr>
        <w:rPr>
          <w:rFonts w:ascii="Calibri" w:eastAsia="Times New Roman" w:hAnsi="Calibri"/>
          <w:color w:val="000000"/>
          <w:lang w:eastAsia="en-AU"/>
        </w:rPr>
      </w:pPr>
    </w:p>
    <w:p w14:paraId="71AEF6E6" w14:textId="77777777" w:rsidR="00740A41" w:rsidRDefault="00740A41" w:rsidP="003F06C9">
      <w:pPr>
        <w:rPr>
          <w:rFonts w:ascii="Calibri" w:eastAsia="Times New Roman" w:hAnsi="Calibri"/>
          <w:color w:val="000000"/>
          <w:lang w:eastAsia="en-AU"/>
        </w:rPr>
      </w:pPr>
    </w:p>
    <w:sectPr w:rsidR="00740A41" w:rsidSect="002B2A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6FE"/>
    <w:multiLevelType w:val="hybridMultilevel"/>
    <w:tmpl w:val="92040AF0"/>
    <w:lvl w:ilvl="0" w:tplc="0C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8"/>
    <w:rsid w:val="00106F33"/>
    <w:rsid w:val="001922F5"/>
    <w:rsid w:val="00236D57"/>
    <w:rsid w:val="002630DE"/>
    <w:rsid w:val="002B2AA5"/>
    <w:rsid w:val="00327597"/>
    <w:rsid w:val="00344DD4"/>
    <w:rsid w:val="003A474B"/>
    <w:rsid w:val="003F06C9"/>
    <w:rsid w:val="00490281"/>
    <w:rsid w:val="00497E72"/>
    <w:rsid w:val="004E2A54"/>
    <w:rsid w:val="00532161"/>
    <w:rsid w:val="00545D4D"/>
    <w:rsid w:val="00666C12"/>
    <w:rsid w:val="006A559B"/>
    <w:rsid w:val="006F0AA1"/>
    <w:rsid w:val="00740A41"/>
    <w:rsid w:val="00761861"/>
    <w:rsid w:val="00794698"/>
    <w:rsid w:val="008379F3"/>
    <w:rsid w:val="00855C6A"/>
    <w:rsid w:val="008C5CF6"/>
    <w:rsid w:val="00941841"/>
    <w:rsid w:val="009C3971"/>
    <w:rsid w:val="009E4EEA"/>
    <w:rsid w:val="00A064FF"/>
    <w:rsid w:val="00A132E4"/>
    <w:rsid w:val="00A664AB"/>
    <w:rsid w:val="00BE4731"/>
    <w:rsid w:val="00C815E8"/>
    <w:rsid w:val="00D84E01"/>
    <w:rsid w:val="00DC7B71"/>
    <w:rsid w:val="00E30DD6"/>
    <w:rsid w:val="00E40E36"/>
    <w:rsid w:val="00F122A0"/>
    <w:rsid w:val="00F23A8D"/>
    <w:rsid w:val="00F646AB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72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E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E8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97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40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.nsw.gov.au/sectordevelopment/active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Tait, Alison</cp:lastModifiedBy>
  <cp:revision>2</cp:revision>
  <cp:lastPrinted>2016-12-13T02:25:00Z</cp:lastPrinted>
  <dcterms:created xsi:type="dcterms:W3CDTF">2018-01-28T22:35:00Z</dcterms:created>
  <dcterms:modified xsi:type="dcterms:W3CDTF">2018-01-28T22:35:00Z</dcterms:modified>
</cp:coreProperties>
</file>